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指月录</w:t>
      </w:r>
    </w:p>
    <w:p>
      <w:r>
        <w:rPr>
          <w:rFonts w:ascii="宋体" w:hAnsi="宋体" w:eastAsia="宋体"/>
          <w:sz w:val="24"/>
        </w:rPr>
        <w:t>（清）瞿汝稷编集；（清）聂先编集；江湘参订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（清）瞿汝稷编集；（清）聂先编集；江湘参订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本书出售、求购地址：https://www.jiaokey.com/book/detail/10521996.html</w:t>
      </w:r>
    </w:p>
    <w:p>
      <w:r>
        <w:t>更多相关图书推荐：https://www.jiaokey.com</w:t>
      </w:r>
    </w:p>
    <w:p>
      <w:r>
        <w:t>（清）瞿汝稷编集；（清）聂先编集；江湘参订 其他作品：https://www.jiaokey.com/tag/（清）瞿汝稷编集；（清）聂先编集；江湘参订.html</w:t>
      </w:r>
    </w:p>
    <w:p>
      <w:r>
        <w:t>新文丰出版公司 出版图书：https://www.jiaokey.com/tag/新文丰出版公司.html</w:t>
      </w:r>
    </w:p>
    <w:p>
      <w:r>
        <w:t>关键词搜索：https://www.jiaokey.com/tag/指月录.html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