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隋唐与后三韩关系及日本遣隋使遣唐使运动</w:t>
      </w:r>
    </w:p>
    <w:p>
      <w:r>
        <w:rPr>
          <w:rFonts w:ascii="宋体" w:hAnsi="宋体" w:eastAsia="宋体"/>
          <w:sz w:val="24"/>
        </w:rPr>
        <w:t>王仪著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隋唐与后三韩关系及日本遣隋使遣唐使运动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本书出售、求购地址：https://www.jiaokey.com/book/detail/10519952.html</w:t>
      </w:r>
    </w:p>
    <w:p>
      <w:r>
        <w:t>更多相关图书推荐：https://www.jiaokey.com</w:t>
      </w:r>
    </w:p>
    <w:p>
      <w:r>
        <w:t>王仪著 其他作品：https://www.jiaokey.com/tag/王仪著.html</w:t>
      </w:r>
    </w:p>
    <w:p>
      <w:r>
        <w:t>台湾中华书局 出版图书：https://www.jiaokey.com/tag/台湾中华书局.html</w:t>
      </w:r>
    </w:p>
    <w:p>
      <w:r>
        <w:t>关键词搜索：https://www.jiaokey.com/tag/隋唐与后三韩关系及日本遣隋使遣唐使运动.html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