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民元前的鲁迅先生</w:t>
      </w:r>
    </w:p>
    <w:p>
      <w:r>
        <w:rPr>
          <w:rFonts w:ascii="宋体" w:hAnsi="宋体" w:eastAsia="宋体"/>
          <w:sz w:val="24"/>
        </w:rPr>
        <w:t>王冶秋著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民元前的鲁迅先生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成都：峨眉电影制片厂音像出版社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本书出售、求购地址：https://www.jiaokey.com/book/detail/10517608.html</w:t>
      </w:r>
    </w:p>
    <w:p>
      <w:r>
        <w:t>更多相关图书推荐：https://www.jiaokey.com</w:t>
      </w:r>
    </w:p>
    <w:p>
      <w:r>
        <w:t>王冶秋著 其他作品：https://www.jiaokey.com/tag/王冶秋著.html</w:t>
      </w:r>
    </w:p>
    <w:p>
      <w:r>
        <w:t>成都：峨眉电影制片厂音像出版社 出版图书：https://www.jiaokey.com/tag/成都：峨眉电影制片厂音像出版社.html</w:t>
      </w:r>
    </w:p>
    <w:p>
      <w:r>
        <w:t>关键词搜索：https://www.jiaokey.com/tag/民元前的鲁迅先生.html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