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各国教育制度及概况</w:t>
      </w:r>
    </w:p>
    <w:p>
      <w:r>
        <w:rPr>
          <w:rFonts w:ascii="宋体" w:hAnsi="宋体" w:eastAsia="宋体"/>
          <w:sz w:val="24"/>
        </w:rPr>
        <w:t>孙百刚编著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各国教育制度及概况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新中国建设学会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本书出售、求购地址：https://www.jiaokey.com/book/detail/10516896.html</w:t>
      </w:r>
    </w:p>
    <w:p>
      <w:r>
        <w:t>更多相关图书推荐：https://www.jiaokey.com</w:t>
      </w:r>
    </w:p>
    <w:p>
      <w:r>
        <w:t>孙百刚编著 其他作品：https://www.jiaokey.com/tag/孙百刚编著.html</w:t>
      </w:r>
    </w:p>
    <w:p>
      <w:r>
        <w:t>新中国建设学会 出版图书：https://www.jiaokey.com/tag/新中国建设学会.html</w:t>
      </w:r>
    </w:p>
    <w:p>
      <w:r>
        <w:t>关键词搜索：https://www.jiaokey.com/tag/各国教育制度及概况.html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