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江湖任侠-市民社会的英雄主义</w:t>
      </w:r>
    </w:p>
    <w:p>
      <w:r>
        <w:rPr>
          <w:rFonts w:ascii="宋体" w:hAnsi="宋体" w:eastAsia="宋体"/>
          <w:sz w:val="24"/>
        </w:rPr>
        <w:t>汪涌豪，陈广宏著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江湖任侠-市民社会的英雄主义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汪涌豪，陈广宏著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汉扬出版股份有限公司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本书出售、求购地址：https://www.jiaokey.com/book/detail/10515165.html</w:t>
      </w:r>
    </w:p>
    <w:p>
      <w:r>
        <w:t>更多相关图书推荐：https://www.jiaokey.com</w:t>
      </w:r>
    </w:p>
    <w:p>
      <w:r>
        <w:t>汪涌豪，陈广宏著 其他作品：https://www.jiaokey.com/tag/汪涌豪，陈广宏著.html</w:t>
      </w:r>
    </w:p>
    <w:p>
      <w:r>
        <w:t>汉扬出版股份有限公司 出版图书：https://www.jiaokey.com/tag/汉扬出版股份有限公司.html</w:t>
      </w:r>
    </w:p>
    <w:p>
      <w:r>
        <w:t>关键词搜索：https://www.jiaokey.com/tag/江湖任侠-市民社会的英雄主义.html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