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鱼王</w:t>
      </w:r>
    </w:p>
    <w:p>
      <w:r>
        <w:rPr>
          <w:rFonts w:ascii="宋体" w:hAnsi="宋体" w:eastAsia="宋体"/>
          <w:sz w:val="24"/>
        </w:rPr>
        <w:t>（苏）维·阿斯塔菲耶夫（В.П.Астафьев）著；夏仲翼等译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（苏）维·阿斯塔菲耶夫（В.П.Астафьев）著；夏仲翼等译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本书出售、求购地址：https://www.jiaokey.com/book/detail/10506769.html</w:t>
      </w:r>
    </w:p>
    <w:p>
      <w:r>
        <w:t>更多相关图书推荐：https://www.jiaokey.com</w:t>
      </w:r>
    </w:p>
    <w:p>
      <w:r>
        <w:t>（苏）维·阿斯塔菲耶夫（В.П.Астафьев）著；夏仲翼等译 其他作品：https://www.jiaokey.com/tag/（苏）维·阿斯塔菲耶夫（В.П.Астафьев）著；夏仲翼等译.html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关键词搜索：https://www.jiaokey.com/tag/鱼王.html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