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高科技品牌管理  创建新经济时代强势品牌</w:t>
      </w:r>
    </w:p>
    <w:p>
      <w:r>
        <w:rPr>
          <w:rFonts w:ascii="宋体" w:hAnsi="宋体" w:eastAsia="宋体"/>
          <w:sz w:val="24"/>
        </w:rPr>
        <w:t>（新加坡）保罗·唐波拉尔（Paul Temporal），（新加坡）夸克·C.李（Kwok Cheong Lee）著；阳永荣等译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高科技品牌管理  创建新经济时代强势品牌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（新加坡）保罗·唐波拉尔（Paul Temporal），（新加坡）夸克·C.李（Kwok Cheong Lee）著；阳永荣等译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本书出售、求购地址：https://www.jiaokey.com/book/detail/10505854.html</w:t>
      </w:r>
    </w:p>
    <w:p>
      <w:r>
        <w:t>更多相关图书推荐：https://www.jiaokey.com</w:t>
      </w:r>
    </w:p>
    <w:p>
      <w:r>
        <w:t>（新加坡）保罗·唐波拉尔（Paul Temporal），（新加坡）夸克·C.李（Kwok Cheong Lee）著；阳永荣等译 其他作品：https://www.jiaokey.com/tag/（新加坡）保罗·唐波拉尔（Paul Temporal），（新加坡）夸克·C.李（Kwok Cheong Lee）著；阳永荣等译.html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关键词搜索：https://www.jiaokey.com/tag/高科技品牌管理  创建新经济时代强势品牌.html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