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第二卷 （上册）</w:t>
      </w:r>
    </w:p>
    <w:p>
      <w:r>
        <w:rPr>
          <w:rFonts w:ascii="宋体" w:hAnsi="宋体" w:eastAsia="宋体"/>
          <w:sz w:val="24"/>
        </w:rPr>
        <w:t>（苏）列·阿·门德尔逊著 吴纪先 郭吴新等译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第二卷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（苏）列·阿·门德尔逊著 吴纪先 郭吴新等译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本书出售、求购地址：https://www.jiaokey.com/book/detail/10499746.html</w:t>
      </w:r>
    </w:p>
    <w:p>
      <w:r>
        <w:t>更多相关图书推荐：https://www.jiaokey.com</w:t>
      </w:r>
    </w:p>
    <w:p>
      <w:r>
        <w:t>（苏）列·阿·门德尔逊著 吴纪先 郭吴新等译 其他作品：https://www.jiaokey.com/tag/（苏）列·阿·门德尔逊著 吴纪先 郭吴新等译.html</w:t>
      </w:r>
    </w:p>
    <w:p>
      <w:r>
        <w:t>关键词搜索：https://www.jiaokey.com/tag/经济危机和周期的理论与历史 第二卷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