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即时时间管理</w:t>
      </w:r>
    </w:p>
    <w:p>
      <w:r>
        <w:rPr>
          <w:rFonts w:ascii="宋体" w:hAnsi="宋体" w:eastAsia="宋体"/>
          <w:sz w:val="24"/>
        </w:rPr>
        <w:t>（英）布赖恩·克莱格（Brian Clegg）著；孔令丞等译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即时时间管理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（英）布赖恩·克莱格（Brian Clegg）著；孔令丞等译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本书出售、求购地址：https://www.jiaokey.com/book/detail/10499019.html</w:t>
      </w:r>
    </w:p>
    <w:p>
      <w:r>
        <w:t>更多相关图书推荐：https://www.jiaokey.com</w:t>
      </w:r>
    </w:p>
    <w:p>
      <w:r>
        <w:t>（英）布赖恩·克莱格（Brian Clegg）著；孔令丞等译 其他作品：https://www.jiaokey.com/tag/（英）布赖恩·克莱格（Brian Clegg）著；孔令丞等译.html</w:t>
      </w:r>
    </w:p>
    <w:p>
      <w:r>
        <w:t>北京市：经济管理出版社 出版图书：https://www.jiaokey.com/tag/北京市：经济管理出版社.html</w:t>
      </w:r>
    </w:p>
    <w:p>
      <w:r>
        <w:t>关键词搜索：https://www.jiaokey.com/tag/即时时间管理.html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