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钢筋混凝土桥计算</w:t>
      </w:r>
    </w:p>
    <w:p>
      <w:r>
        <w:rPr>
          <w:rFonts w:ascii="宋体" w:hAnsi="宋体" w:eastAsia="宋体"/>
          <w:sz w:val="24"/>
        </w:rPr>
        <w:t>（苏）雅可布逊（К.К.Якобсон）撰；唐山铁道学院钢筋混凝土结构教研组译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（苏）雅可布逊（К.К.Якобсон）撰；唐山铁道学院钢筋混凝土结构教研组译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本书出售、求购地址：https://www.jiaokey.com/book/detail/10497630.html</w:t>
      </w:r>
    </w:p>
    <w:p>
      <w:r>
        <w:t>更多相关图书推荐：https://www.jiaokey.com</w:t>
      </w:r>
    </w:p>
    <w:p>
      <w:r>
        <w:t>（苏）雅可布逊（К.К.Якобсон）撰；唐山铁道学院钢筋混凝土结构教研组译 其他作品：https://www.jiaokey.com/tag/（苏）雅可布逊（К.К.Якобсон）撰；唐山铁道学院钢筋混凝土结构教研组译.html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关键词搜索：https://www.jiaokey.com/tag/钢筋混凝土桥计算.html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