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论达尔文主义</w:t>
      </w:r>
    </w:p>
    <w:p>
      <w:r>
        <w:rPr>
          <w:rFonts w:ascii="宋体" w:hAnsi="宋体" w:eastAsia="宋体"/>
          <w:sz w:val="24"/>
        </w:rPr>
        <w:t>（苏）梅契尼科夫（И.И.Мечнизме）著；刘后一，关汉光译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论达尔文主义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（苏）梅契尼科夫（И.И.Мечнизме）著；刘后一，关汉光译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本书出售、求购地址：https://www.jiaokey.com/book/detail/10496241.html</w:t>
      </w:r>
    </w:p>
    <w:p>
      <w:r>
        <w:t>更多相关图书推荐：https://www.jiaokey.com</w:t>
      </w:r>
    </w:p>
    <w:p>
      <w:r>
        <w:t>（苏）梅契尼科夫（И.И.Мечнизме）著；刘后一，关汉光译 其他作品：https://www.jiaokey.com/tag/（苏）梅契尼科夫（И.И.Мечнизме）著；刘后一，关汉光译.html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关键词搜索：https://www.jiaokey.com/tag/论达尔文主义.html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