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港、澳、新、马、泰、菲</w:t>
      </w:r>
    </w:p>
    <w:p>
      <w:r>
        <w:rPr>
          <w:rFonts w:ascii="宋体" w:hAnsi="宋体" w:eastAsia="宋体"/>
          <w:sz w:val="24"/>
        </w:rPr>
        <w:t>国家旅游局政策法规司，中国国际旅行社总社，香港中国旅行社总社等编著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港、澳、新、马、泰、菲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国家旅游局政策法规司，中国国际旅行社总社，香港中国旅行社总社等编著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本书出售、求购地址：https://www.jiaokey.com/book/detail/10494746.html</w:t>
      </w:r>
    </w:p>
    <w:p>
      <w:r>
        <w:t>更多相关图书推荐：https://www.jiaokey.com</w:t>
      </w:r>
    </w:p>
    <w:p>
      <w:r>
        <w:t>国家旅游局政策法规司，中国国际旅行社总社，香港中国旅行社总社等编著 其他作品：https://www.jiaokey.com/tag/国家旅游局政策法规司，中国国际旅行社总社，香港中国旅行社总社等编著.html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关键词搜索：https://www.jiaokey.com/tag/港、澳、新、马、泰、菲.html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