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植物育种的杂种优势</w:t>
      </w:r>
    </w:p>
    <w:p>
      <w:r>
        <w:rPr>
          <w:rFonts w:ascii="宋体" w:hAnsi="宋体" w:eastAsia="宋体"/>
          <w:sz w:val="24"/>
        </w:rPr>
        <w:t>（匈）杨诺西（A.Janossy），（英）勒普顿（F.G.H.Lupton）编；北京农业大学农学系译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植物育种的杂种优势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（匈）杨诺西（A.Janossy），（英）勒普顿（F.G.H.Lupton）编；北京农业大学农学系译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本书出售、求购地址：https://www.jiaokey.com/book/detail/10480990.html</w:t>
      </w:r>
    </w:p>
    <w:p>
      <w:r>
        <w:t>更多相关图书推荐：https://www.jiaokey.com</w:t>
      </w:r>
    </w:p>
    <w:p>
      <w:r>
        <w:t>（匈）杨诺西（A.Janossy），（英）勒普顿（F.G.H.Lupton）编；北京农业大学农学系译 其他作品：https://www.jiaokey.com/tag/（匈）杨诺西（A.Janossy），（英）勒普顿（F.G.H.Lupton）编；北京农业大学农学系译.html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关键词搜索：https://www.jiaokey.com/tag/植物育种的杂种优势.html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