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分子遗传学原理</w:t>
      </w:r>
    </w:p>
    <w:p>
      <w:r>
        <w:rPr>
          <w:rFonts w:ascii="宋体" w:hAnsi="宋体" w:eastAsia="宋体"/>
          <w:sz w:val="24"/>
        </w:rPr>
        <w:t>（美）斯坦特（G.S.Stent）著；中国科学院遗传研究所《分子遗传学》翻译小组译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分子遗传学原理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（美）斯坦特（G.S.Stent）著；中国科学院遗传研究所《分子遗传学》翻译小组译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本书出售、求购地址：https://www.jiaokey.com/book/detail/10479859.html</w:t>
      </w:r>
    </w:p>
    <w:p>
      <w:r>
        <w:t>更多相关图书推荐：https://www.jiaokey.com</w:t>
      </w:r>
    </w:p>
    <w:p>
      <w:r>
        <w:t>（美）斯坦特（G.S.Stent）著；中国科学院遗传研究所《分子遗传学》翻译小组译 其他作品：https://www.jiaokey.com/tag/（美）斯坦特（G.S.Stent）著；中国科学院遗传研究所《分子遗传学》翻译小组译.html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关键词搜索：https://www.jiaokey.com/tag/分子遗传学原理.html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