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马恩列斯论社会主义社会的阶段划分</w:t>
      </w:r>
    </w:p>
    <w:p>
      <w:r>
        <w:rPr>
          <w:rFonts w:ascii="宋体" w:hAnsi="宋体" w:eastAsia="宋体"/>
          <w:sz w:val="24"/>
        </w:rPr>
        <w:t>薛汉伟等编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马恩列斯论社会主义社会的阶段划分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马恩列斯毛语录-科学社会主义理论 科学社会主义理论-马恩列斯毛语录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本书出售、求购地址：https://www.jiaokey.com/book/detail/10477844.html</w:t>
      </w:r>
    </w:p>
    <w:p>
      <w:r>
        <w:t>更多相关图书推荐：https://www.jiaokey.com</w:t>
      </w:r>
    </w:p>
    <w:p>
      <w:r>
        <w:t>薛汉伟等编 其他作品：https://www.jiaokey.com/tag/薛汉伟等编.html</w:t>
      </w:r>
    </w:p>
    <w:p>
      <w:r>
        <w:t>求实出版社 出版图书：https://www.jiaokey.com/tag/求实出版社.html</w:t>
      </w:r>
    </w:p>
    <w:p>
      <w:r>
        <w:t>关键词搜索：https://www.jiaokey.com/tag/马恩列斯毛语录-科学社会主义理论 科学社会主义理论-马恩列斯毛语录.html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