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章太炎学术论著</w:t>
      </w:r>
    </w:p>
    <w:p>
      <w:r>
        <w:rPr>
          <w:rFonts w:ascii="宋体" w:hAnsi="宋体" w:eastAsia="宋体"/>
          <w:sz w:val="24"/>
        </w:rPr>
        <w:t>章太炎著；刘凌，孔繁荣编校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章太炎学术论著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章太炎著；刘凌，孔繁荣编校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本书出售、求购地址：https://www.jiaokey.com/book/detail/10471845.html</w:t>
      </w:r>
    </w:p>
    <w:p>
      <w:r>
        <w:t>更多相关图书推荐：https://www.jiaokey.com</w:t>
      </w:r>
    </w:p>
    <w:p>
      <w:r>
        <w:t>章太炎著；刘凌，孔繁荣编校 其他作品：https://www.jiaokey.com/tag/章太炎著；刘凌，孔繁荣编校.html</w:t>
      </w:r>
    </w:p>
    <w:p>
      <w:r>
        <w:t>杭州：浙江人民出版社 出版图书：https://www.jiaokey.com/tag/杭州：浙江人民出版社.html</w:t>
      </w:r>
    </w:p>
    <w:p>
      <w:r>
        <w:t>关键词搜索：https://www.jiaokey.com/tag/章太炎学术论著.html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