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迈向初段  布局基本问题集</w:t>
      </w:r>
    </w:p>
    <w:p>
      <w:r>
        <w:rPr>
          <w:rFonts w:ascii="宋体" w:hAnsi="宋体" w:eastAsia="宋体"/>
          <w:sz w:val="24"/>
        </w:rPr>
        <w:t>（日）诚文堂新光社围棋编辑部编；廖渝生译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迈向初段  布局基本问题集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（日）诚文堂新光社围棋编辑部编；廖渝生译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本书出售、求购地址：https://www.jiaokey.com/book/detail/10471185.html</w:t>
      </w:r>
    </w:p>
    <w:p>
      <w:r>
        <w:t>更多相关图书推荐：https://www.jiaokey.com</w:t>
      </w:r>
    </w:p>
    <w:p>
      <w:r>
        <w:t>（日）诚文堂新光社围棋编辑部编；廖渝生译 其他作品：https://www.jiaokey.com/tag/（日）诚文堂新光社围棋编辑部编；廖渝生译.html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关键词搜索：https://www.jiaokey.com/tag/迈向初段  布局基本问题集.html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