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海洋学国际单位制</w:t>
      </w:r>
    </w:p>
    <w:p>
      <w:r>
        <w:rPr>
          <w:rFonts w:ascii="宋体" w:hAnsi="宋体" w:eastAsia="宋体"/>
          <w:sz w:val="24"/>
        </w:rPr>
        <w:t>国际海洋物理科学协会物理海洋学符号、单位和专门名称工作组报告肖革等译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海洋学国际单位制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国际海洋物理科学协会物理海洋学符号、单位和专门名称工作组报告肖革等译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本书出售、求购地址：https://www.jiaokey.com/book/detail/10466976.html</w:t>
      </w:r>
    </w:p>
    <w:p>
      <w:r>
        <w:t>更多相关图书推荐：https://www.jiaokey.com</w:t>
      </w:r>
    </w:p>
    <w:p>
      <w:r>
        <w:t>国际海洋物理科学协会物理海洋学符号、单位和专门名称工作组报告肖革等译 其他作品：https://www.jiaokey.com/tag/国际海洋物理科学协会物理海洋学符号、单位和专门名称工作组报告肖革等译.html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关键词搜索：https://www.jiaokey.com/tag/海洋学国际单位制.html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