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按实例学Delphi 2</w:t>
      </w:r>
    </w:p>
    <w:p>
      <w:r>
        <w:rPr>
          <w:rFonts w:ascii="宋体" w:hAnsi="宋体" w:eastAsia="宋体"/>
          <w:sz w:val="24"/>
        </w:rPr>
        <w:t>（美）（S.L.温纳）Scott L.Warner，（美）（P.古德斯曼）Paul Goldsman著；张乃琳译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按实例学Delphi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（美）（S.L.温纳）Scott L.Warner，（美）（P.古德斯曼）Paul Goldsman著；张乃琳译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软件工具,Delphi 学科: 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本书出售、求购地址：https://www.jiaokey.com/book/detail/10461154.html</w:t>
      </w:r>
    </w:p>
    <w:p>
      <w:r>
        <w:t>更多相关图书推荐：https://www.jiaokey.com</w:t>
      </w:r>
    </w:p>
    <w:p>
      <w:r>
        <w:t>（美）（S.L.温纳）Scott L.Warner，（美）（P.古德斯曼）Paul Goldsman著；张乃琳译 其他作品：https://www.jiaokey.com/tag/（美）（S.L.温纳）Scott L.Warner，（美）（P.古德斯曼）Paul Goldsman著；张乃琳译.html</w:t>
      </w:r>
    </w:p>
    <w:p>
      <w:r>
        <w:t>关键词搜索：https://www.jiaokey.com/tag/软件工具,Delphi 学科: 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