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 Windows平台 WPS 2000案例精解</w:t>
      </w:r>
    </w:p>
    <w:p>
      <w:r>
        <w:rPr>
          <w:rFonts w:ascii="宋体" w:hAnsi="宋体" w:eastAsia="宋体"/>
          <w:sz w:val="24"/>
        </w:rPr>
        <w:t>陈敏，陈朝等著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 Windows平台 WPS 2000案例精解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陈敏，陈朝等著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本书出售、求购地址：https://www.jiaokey.com/book/detail/10455291.html</w:t>
      </w:r>
    </w:p>
    <w:p>
      <w:r>
        <w:t>更多相关图书推荐：https://www.jiaokey.com</w:t>
      </w:r>
    </w:p>
    <w:p>
      <w:r>
        <w:t>陈敏，陈朝等著 其他作品：https://www.jiaokey.com/tag/陈敏，陈朝等著.html</w:t>
      </w:r>
    </w:p>
    <w:p>
      <w:r>
        <w:t>北京希望电子公司 出版图书：https://www.jiaokey.com/tag/北京希望电子公司.html</w:t>
      </w:r>
    </w:p>
    <w:p>
      <w:r>
        <w:t>关键词搜索：https://www.jiaokey.com/tag/办公软件应用 Windows平台 WPS 2000案例精解.html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