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女奴</w:t>
      </w:r>
    </w:p>
    <w:p>
      <w:r>
        <w:rPr>
          <w:rFonts w:ascii="宋体" w:hAnsi="宋体" w:eastAsia="宋体"/>
          <w:sz w:val="24"/>
        </w:rPr>
        <w:t>（巴西）吉马朗斯（B.Guimaraes著） 翁怡兰译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（巴西）吉马朗斯（B.Guimaraes著） 翁怡兰译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本书出售、求购地址：https://www.jiaokey.com/book/detail/10451678.html</w:t>
      </w:r>
    </w:p>
    <w:p>
      <w:r>
        <w:t>更多相关图书推荐：https://www.jiaokey.com</w:t>
      </w:r>
    </w:p>
    <w:p>
      <w:r>
        <w:t>（巴西）吉马朗斯（B.Guimaraes著） 翁怡兰译 其他作品：https://www.jiaokey.com/tag/（巴西）吉马朗斯（B.Guimaraes著） 翁怡兰译.html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