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加拿大发展的动力源</w:t>
      </w:r>
    </w:p>
    <w:p>
      <w:r>
        <w:rPr>
          <w:rFonts w:ascii="宋体" w:hAnsi="宋体" w:eastAsia="宋体"/>
          <w:sz w:val="24"/>
        </w:rPr>
        <w:t>（加）西蒙·多伦（Shimon L.Dolan），（加）兰多·舒尔乐（Randall S.Schuler）著；董克用等译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加拿大发展的动力源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（加）西蒙·多伦（Shimon L.Dolan），（加）兰多·舒尔乐（Randall S.Schuler）著；董克用等译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本书出售、求购地址：https://www.jiaokey.com/book/detail/10449247.html</w:t>
      </w:r>
    </w:p>
    <w:p>
      <w:r>
        <w:t>更多相关图书推荐：https://www.jiaokey.com</w:t>
      </w:r>
    </w:p>
    <w:p>
      <w:r>
        <w:t>（加）西蒙·多伦（Shimon L.Dolan），（加）兰多·舒尔乐（Randall S.Schuler）著；董克用等译 其他作品：https://www.jiaokey.com/tag/（加）西蒙·多伦（Shimon L.Dolan），（加）兰多·舒尔乐（Randall S.Schuler）著；董克用等译.html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关键词搜索：https://www.jiaokey.com/tag/人力资源管理  加拿大发展的动力源.html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