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  第2版</w:t>
      </w:r>
    </w:p>
    <w:p>
      <w:r>
        <w:rPr>
          <w:rFonts w:ascii="宋体" w:hAnsi="宋体" w:eastAsia="宋体"/>
          <w:sz w:val="24"/>
        </w:rPr>
        <w:t>高学敏，李兴广编写；北京中医药大学中药教研室编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高学敏，李兴广编写；北京中医药大学中药教研室编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药性赋(学科: 译文) 中药性能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本书出售、求购地址：https://www.jiaokey.com/book/detail/10444537.html</w:t>
      </w:r>
    </w:p>
    <w:p>
      <w:r>
        <w:t>更多相关图书推荐：https://www.jiaokey.com</w:t>
      </w:r>
    </w:p>
    <w:p>
      <w:r>
        <w:t>高学敏，李兴广编写；北京中医药大学中药教研室编 其他作品：https://www.jiaokey.com/tag/高学敏，李兴广编写；北京中医药大学中药教研室编.html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关键词搜索：https://www.jiaokey.com/tag/药性赋(学科: 译文) 中药性能.html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