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企业会计准则及指南  3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企业会计准则及指南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本书出售、求购地址：https://www.jiaokey.com/book/detail/10429234.html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关键词搜索：https://www.jiaokey.com/tag/企业会计准则及指南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