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劳动在从猿到人过程中的作用</w:t>
      </w:r>
    </w:p>
    <w:p>
      <w:r>
        <w:rPr>
          <w:rFonts w:ascii="宋体" w:hAnsi="宋体" w:eastAsia="宋体"/>
          <w:sz w:val="24"/>
        </w:rPr>
        <w:t>（德）恩格斯（Friedrich Engels）撰；曹葆华，于光远译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劳动在从猿到人过程中的作用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（德）恩格斯（Friedrich Engels）撰；曹葆华，于光远译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本书出售、求购地址：https://www.jiaokey.com/book/detail/10427835.html</w:t>
      </w:r>
    </w:p>
    <w:p>
      <w:r>
        <w:t>更多相关图书推荐：https://www.jiaokey.com</w:t>
      </w:r>
    </w:p>
    <w:p>
      <w:r>
        <w:t>（德）恩格斯（Friedrich Engels）撰；曹葆华，于光远译 其他作品：https://www.jiaokey.com/tag/（德）恩格斯（Friedrich Engels）撰；曹葆华，于光远译.html</w:t>
      </w:r>
    </w:p>
    <w:p>
      <w:r>
        <w:t>华北大学 出版图书：https://www.jiaokey.com/tag/华北大学.html</w:t>
      </w:r>
    </w:p>
    <w:p>
      <w:r>
        <w:t>关键词搜索：https://www.jiaokey.com/tag/劳动在从猿到人过程中的作用.html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