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企业的进入退出与产业组织政策  以汽车制造业和耐用消费品制造业为例</w:t>
      </w:r>
    </w:p>
    <w:p>
      <w:r>
        <w:rPr>
          <w:rFonts w:ascii="宋体" w:hAnsi="宋体" w:eastAsia="宋体"/>
          <w:sz w:val="24"/>
        </w:rPr>
        <w:t>杨蕙馨著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企业的进入退出与产业组织政策  以汽车制造业和耐用消费品制造业为例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杨蕙馨著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上海：上海人民出版社；三联书店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本书出售、求购地址：https://www.jiaokey.com/book/detail/10427394.html</w:t>
      </w:r>
    </w:p>
    <w:p>
      <w:r>
        <w:t>更多相关图书推荐：https://www.jiaokey.com</w:t>
      </w:r>
    </w:p>
    <w:p>
      <w:r>
        <w:t>杨蕙馨著 其他作品：https://www.jiaokey.com/tag/杨蕙馨著.html</w:t>
      </w:r>
    </w:p>
    <w:p>
      <w:r>
        <w:t>上海：上海人民出版社；三联书店 出版图书：https://www.jiaokey.com/tag/上海：上海人民出版社；三联书店.html</w:t>
      </w:r>
    </w:p>
    <w:p>
      <w:r>
        <w:t>关键词搜索：https://www.jiaokey.com/tag/企业的进入退出与产业组织政策  以汽车制造业和耐用消费品制造业为例.html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