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书名：生产性固定基金折旧和更新期限</w:t>
      </w:r>
    </w:p>
    <w:p>
      <w:r>
        <w:t>作者：（苏）巴兰诺夫（Баранов，В.А.）著；梁文森译</w:t>
      </w:r>
    </w:p>
    <w:p>
      <w:r>
        <w:t>出版社：济南：山东人民出版社</w:t>
      </w:r>
    </w:p>
    <w:p>
      <w:r>
        <w:t>出版日期：1982.04</w:t>
      </w:r>
    </w:p>
    <w:p>
      <w:r>
        <w:t>总页数：203</w:t>
      </w:r>
    </w:p>
    <w:p>
      <w:r>
        <w:t>更多请访问教客网: www.jiaokey.com</w:t>
      </w:r>
    </w:p>
    <w:p>
      <w:r>
        <w:t>生产性固定基金折旧和更新期限 评论地址：https://www.jiaokey.com/book/detail/10426769.html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