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地震动下工程结构物的动力计算</w:t>
      </w:r>
    </w:p>
    <w:p>
      <w:r>
        <w:rPr>
          <w:rFonts w:ascii="宋体" w:hAnsi="宋体" w:eastAsia="宋体"/>
          <w:sz w:val="24"/>
        </w:rPr>
        <w:t>（苏）Б.Г.科列涅夫（Б.Г.Коренев）等主编；沈聚敏，高伯扬编译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地震动下工程结构物的动力计算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（苏）Б.Г.科列涅夫（Б.Г.Коренев）等主编；沈聚敏，高伯扬编译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本书出售、求购地址：https://www.jiaokey.com/book/detail/10426126.html</w:t>
      </w:r>
    </w:p>
    <w:p>
      <w:r>
        <w:t>更多相关图书推荐：https://www.jiaokey.com</w:t>
      </w:r>
    </w:p>
    <w:p>
      <w:r>
        <w:t>（苏）Б.Г.科列涅夫（Б.Г.Коренев）等主编；沈聚敏，高伯扬编译 其他作品：https://www.jiaokey.com/tag/（苏）Б.Г.科列涅夫（Б.Г.Коренев）等主编；沈聚敏，高伯扬编译.html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关键词搜索：https://www.jiaokey.com/tag/地震动下工程结构物的动力计算.html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