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书名：野生中药材采集加工技术  下  果实和种子类、全草类、菌藻类、动物类、矿物类、其他类</w:t>
      </w:r>
    </w:p>
    <w:p>
      <w:r>
        <w:t>作者：陆善旦等编著</w:t>
      </w:r>
    </w:p>
    <w:p>
      <w:r>
        <w:t>出版社：南宁：广西科学技术出版社</w:t>
      </w:r>
    </w:p>
    <w:p>
      <w:r>
        <w:t>出版日期：1999.09</w:t>
      </w:r>
    </w:p>
    <w:p>
      <w:r>
        <w:t>总页数：191</w:t>
      </w:r>
    </w:p>
    <w:p>
      <w:r>
        <w:t>更多请访问教客网: www.jiaokey.com</w:t>
      </w:r>
    </w:p>
    <w:p>
      <w:r>
        <w:t>野生中药材采集加工技术  下  果实和种子类、全草类、菌藻类、动物类、矿物类、其他类 评论地址：https://www.jiaokey.com/book/detail/10419203.html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