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钢笔楷书描摹字帖——识繁写简</w:t>
      </w:r>
    </w:p>
    <w:p>
      <w:r>
        <w:rPr>
          <w:rFonts w:ascii="宋体" w:hAnsi="宋体" w:eastAsia="宋体"/>
          <w:sz w:val="24"/>
        </w:rPr>
        <w:t>刘佳尚书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钢笔楷书描摹字帖——识繁写简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本书出售、求购地址：https://www.jiaokey.com/book/detail/10418746.html</w:t>
      </w:r>
    </w:p>
    <w:p>
      <w:r>
        <w:t>更多相关图书推荐：https://www.jiaokey.com</w:t>
      </w:r>
    </w:p>
    <w:p>
      <w:r>
        <w:t>刘佳尚书 其他作品：https://www.jiaokey.com/tag/刘佳尚书.html</w:t>
      </w:r>
    </w:p>
    <w:p>
      <w:r>
        <w:t>四川人民出版社 出版图书：https://www.jiaokey.com/tag/四川人民出版社.html</w:t>
      </w:r>
    </w:p>
    <w:p>
      <w:r>
        <w:t>关键词搜索：https://www.jiaokey.com/tag/钢笔楷书描摹字帖——识繁写简.html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