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  下篇</w:t>
      </w:r>
    </w:p>
    <w:p>
      <w:r>
        <w:rPr>
          <w:rFonts w:ascii="宋体" w:hAnsi="宋体" w:eastAsia="宋体"/>
          <w:sz w:val="24"/>
        </w:rPr>
        <w:t>郑渊洁著；海瀛编文；刘泽岱造型；严定宪等绘画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郑渊洁著；海瀛编文；刘泽岱造型；严定宪等绘画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本书出售、求购地址：https://www.jiaokey.com/book/detail/10415904.html</w:t>
      </w:r>
    </w:p>
    <w:p>
      <w:r>
        <w:t>更多相关图书推荐：https://www.jiaokey.com</w:t>
      </w:r>
    </w:p>
    <w:p>
      <w:r>
        <w:t>郑渊洁著；海瀛编文；刘泽岱造型；严定宪等绘画 其他作品：https://www.jiaokey.com/tag/郑渊洁著；海瀛编文；刘泽岱造型；严定宪等绘画.html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关键词搜索：https://www.jiaokey.com/tag/舒克和贝塔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