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从灵感到贸易  时装设计师与品牌运作</w:t>
      </w:r>
    </w:p>
    <w:p>
      <w:r>
        <w:rPr>
          <w:rFonts w:ascii="宋体" w:hAnsi="宋体" w:eastAsia="宋体"/>
          <w:sz w:val="24"/>
        </w:rPr>
        <w:t>（日）柳泽元子著；李当岐译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从灵感到贸易  时装设计师与品牌运作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（日）柳泽元子著；李当岐译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中国纺织出版社北京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本书出售、求购地址：https://www.jiaokey.com/book/detail/10410349.html</w:t>
      </w:r>
    </w:p>
    <w:p>
      <w:r>
        <w:t>更多相关图书推荐：https://www.jiaokey.com</w:t>
      </w:r>
    </w:p>
    <w:p>
      <w:r>
        <w:t>（日）柳泽元子著；李当岐译 其他作品：https://www.jiaokey.com/tag/（日）柳泽元子著；李当岐译.html</w:t>
      </w:r>
    </w:p>
    <w:p>
      <w:r>
        <w:t>中国纺织出版社北京 出版图书：https://www.jiaokey.com/tag/中国纺织出版社北京.html</w:t>
      </w:r>
    </w:p>
    <w:p>
      <w:r>
        <w:t>关键词搜索：https://www.jiaokey.com/tag/从灵感到贸易  时装设计师与品牌运作.html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