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成功税制改革的经验与问题  第3卷  税制改革的更为关键的问题</w:t>
      </w:r>
    </w:p>
    <w:p>
      <w:r>
        <w:rPr>
          <w:rFonts w:ascii="宋体" w:hAnsi="宋体" w:eastAsia="宋体"/>
          <w:sz w:val="24"/>
        </w:rPr>
        <w:t>（英）锡德里克·桑福德（Cedric Sandford）主编；杨灿明等译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成功税制改革的经验与问题  第3卷  税制改革的更为关键的问题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（英）锡德里克·桑福德（Cedric Sandford）主编；杨灿明等译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本书出售、求购地址：https://www.jiaokey.com/book/detail/10408163.html</w:t>
      </w:r>
    </w:p>
    <w:p>
      <w:r>
        <w:t>更多相关图书推荐：https://www.jiaokey.com</w:t>
      </w:r>
    </w:p>
    <w:p>
      <w:r>
        <w:t>（英）锡德里克·桑福德（Cedric Sandford）主编；杨灿明等译 其他作品：https://www.jiaokey.com/tag/（英）锡德里克·桑福德（Cedric Sandford）主编；杨灿明等译.html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关键词搜索：https://www.jiaokey.com/tag/成功税制改革的经验与问题  第3卷  税制改革的更为关键的问题.html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