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打造顶级品牌  定位与策略</w:t>
      </w:r>
    </w:p>
    <w:p>
      <w:r>
        <w:rPr>
          <w:rFonts w:ascii="宋体" w:hAnsi="宋体" w:eastAsia="宋体"/>
          <w:sz w:val="24"/>
        </w:rPr>
        <w:t>（美）理查德·D.车尔尼亚夫斯基（Richard D.Czerniawski），（美）迈克尔·W.马洛尼（Michael W.Maloney）著；罗汉等译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打造顶级品牌  定位与策略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（美）理查德·D.车尔尼亚夫斯基（Richard D.Czerniawski），（美）迈克尔·W.马洛尼（Michael W.Maloney）著；罗汉等译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本书出售、求购地址：https://www.jiaokey.com/book/detail/10407698.html</w:t>
      </w:r>
    </w:p>
    <w:p>
      <w:r>
        <w:t>更多相关图书推荐：https://www.jiaokey.com</w:t>
      </w:r>
    </w:p>
    <w:p>
      <w:r>
        <w:t>（美）理查德·D.车尔尼亚夫斯基（Richard D.Czerniawski），（美）迈克尔·W.马洛尼（Michael W.Maloney）著；罗汉等译 其他作品：https://www.jiaokey.com/tag/（美）理查德·D.车尔尼亚夫斯基（Richard D.Czerniawski），（美）迈克尔·W.马洛尼（Michael W.Maloney）著；罗汉等译.html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关键词搜索：https://www.jiaokey.com/tag/打造顶级品牌  定位与策略.html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