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小学生十万个为什么  第二系列</w:t>
      </w:r>
    </w:p>
    <w:p>
      <w:r>
        <w:rPr>
          <w:rFonts w:ascii="宋体" w:hAnsi="宋体" w:eastAsia="宋体"/>
          <w:sz w:val="24"/>
        </w:rPr>
        <w:t>杨俊萍主编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小学生十万个为什么  第二系列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杨俊萍主编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通辽：内蒙古少年儿童出版社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本书出售、求购地址：https://www.jiaokey.com/book/detail/10400868.html</w:t>
      </w:r>
    </w:p>
    <w:p>
      <w:r>
        <w:t>更多相关图书推荐：https://www.jiaokey.com</w:t>
      </w:r>
    </w:p>
    <w:p>
      <w:r>
        <w:t>杨俊萍主编 其他作品：https://www.jiaokey.com/tag/杨俊萍主编.html</w:t>
      </w:r>
    </w:p>
    <w:p>
      <w:r>
        <w:t>通辽：内蒙古少年儿童出版社 出版图书：https://www.jiaokey.com/tag/通辽：内蒙古少年儿童出版社.html</w:t>
      </w:r>
    </w:p>
    <w:p>
      <w:r>
        <w:t>关键词搜索：https://www.jiaokey.com/tag/小学生十万个为什么  第二系列.html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