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生产资料的生产、消费资料的生产</w:t>
      </w:r>
    </w:p>
    <w:p>
      <w:r>
        <w:rPr>
          <w:rFonts w:ascii="宋体" w:hAnsi="宋体" w:eastAsia="宋体"/>
          <w:sz w:val="24"/>
        </w:rPr>
        <w:t>（苏）彼得罗夫（А.И.Петров）著；翟松年，刘放桐译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生产资料的生产、消费资料的生产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（苏）彼得罗夫（А.И.Петров）著；翟松年，刘放桐译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本书出售、求购地址：https://www.jiaokey.com/book/detail/10397976.html</w:t>
      </w:r>
    </w:p>
    <w:p>
      <w:r>
        <w:t>更多相关图书推荐：https://www.jiaokey.com</w:t>
      </w:r>
    </w:p>
    <w:p>
      <w:r>
        <w:t>（苏）彼得罗夫（А.И.Петров）著；翟松年，刘放桐译 其他作品：https://www.jiaokey.com/tag/（苏）彼得罗夫（А.И.Петров）著；翟松年，刘放桐译.html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关键词搜索：https://www.jiaokey.com/tag/生产资料的生产、消费资料的生产.html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