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  理论和政策</w:t>
      </w:r>
    </w:p>
    <w:p>
      <w:r>
        <w:rPr>
          <w:rFonts w:ascii="宋体" w:hAnsi="宋体" w:eastAsia="宋体"/>
          <w:sz w:val="24"/>
        </w:rPr>
        <w:t>（英）巴顿（K.J. Buton）著；上海社会科学院部门经济研究所城市经济研究室译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  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（英）巴顿（K.J. Buton）著；上海社会科学院部门经济研究所城市经济研究室译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本书出售、求购地址：https://www.jiaokey.com/book/detail/10397130.html</w:t>
      </w:r>
    </w:p>
    <w:p>
      <w:r>
        <w:t>更多相关图书推荐：https://www.jiaokey.com</w:t>
      </w:r>
    </w:p>
    <w:p>
      <w:r>
        <w:t>（英）巴顿（K.J. Buton）著；上海社会科学院部门经济研究所城市经济研究室译 其他作品：https://www.jiaokey.com/tag/（英）巴顿（K.J. Buton）著；上海社会科学院部门经济研究所城市经济研究室译.html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关键词搜索：https://www.jiaokey.com/tag/城市经济学  理论和政策.html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