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中医养生论</w:t>
      </w:r>
    </w:p>
    <w:p>
      <w:r>
        <w:rPr>
          <w:rFonts w:ascii="宋体" w:hAnsi="宋体" w:eastAsia="宋体"/>
          <w:sz w:val="24"/>
        </w:rPr>
        <w:t>卢子龙编著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香港卢氏中国针灸学院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本书出售、求购地址：https://www.jiaokey.com/book/detail/10390611.html</w:t>
      </w:r>
    </w:p>
    <w:p>
      <w:r>
        <w:t>更多相关图书推荐：https://www.jiaokey.com</w:t>
      </w:r>
    </w:p>
    <w:p>
      <w:r>
        <w:t>卢子龙编著 其他作品：https://www.jiaokey.com/tag/卢子龙编著.html</w:t>
      </w:r>
    </w:p>
    <w:p>
      <w:r>
        <w:t>香港卢氏中国针灸学院 出版图书：https://www.jiaokey.com/tag/香港卢氏中国针灸学院.html</w:t>
      </w:r>
    </w:p>
    <w:p>
      <w:r>
        <w:t>关键词搜索：https://www.jiaokey.com/tag/中医养生论.html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