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汽车手册</w:t>
      </w:r>
    </w:p>
    <w:p>
      <w:r>
        <w:rPr>
          <w:rFonts w:ascii="宋体" w:hAnsi="宋体" w:eastAsia="宋体"/>
          <w:sz w:val="24"/>
        </w:rPr>
        <w:t>（联邦德国）阿登纳（Adler，U.），（联邦德国）巴兹兰（Bazlen，W.）编；陈宝仁等译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（联邦德国）阿登纳（Adler，U.），（联邦德国）巴兹兰（Bazlen，W.）编；陈宝仁等译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本书出售、求购地址：https://www.jiaokey.com/book/detail/10390114.html</w:t>
      </w:r>
    </w:p>
    <w:p>
      <w:r>
        <w:t>更多相关图书推荐：https://www.jiaokey.com</w:t>
      </w:r>
    </w:p>
    <w:p>
      <w:r>
        <w:t>（联邦德国）阿登纳（Adler，U.），（联邦德国）巴兹兰（Bazlen，W.）编；陈宝仁等译 其他作品：https://www.jiaokey.com/tag/（联邦德国）阿登纳（Adler，U.），（联邦德国）巴兹兰（Bazlen，W.）编；陈宝仁等译.html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