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第三种：捻军  第5册</w:t>
      </w:r>
    </w:p>
    <w:p>
      <w:r>
        <w:rPr>
          <w:rFonts w:ascii="宋体" w:hAnsi="宋体" w:eastAsia="宋体"/>
          <w:sz w:val="24"/>
        </w:rPr>
        <w:t>中国史学会主编；范文澜编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第三种：捻军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中国史学会主编；范文澜编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本书出售、求购地址：https://www.jiaokey.com/book/detail/10386260.html</w:t>
      </w:r>
    </w:p>
    <w:p>
      <w:r>
        <w:t>更多相关图书推荐：https://www.jiaokey.com</w:t>
      </w:r>
    </w:p>
    <w:p>
      <w:r>
        <w:t>中国史学会主编；范文澜编 其他作品：https://www.jiaokey.com/tag/中国史学会主编；范文澜编.html</w:t>
      </w:r>
    </w:p>
    <w:p>
      <w:r>
        <w:t>神州国光社 出版图书：https://www.jiaokey.com/tag/神州国光社.html</w:t>
      </w:r>
    </w:p>
    <w:p>
      <w:r>
        <w:t>关键词搜索：https://www.jiaokey.com/tag/中国近代史资料丛刊  第三种：捻军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