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中国当代审美文化研究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本书出售、求购地址：https://www.jiaokey.com/book/detail/10382134.html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关键词搜索：https://www.jiaokey.com/tag/中国当代审美文化研究.html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