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现代基督教思想从启蒙运动到第二届梵蒂冈公会议  （上卷）</w:t>
      </w:r>
    </w:p>
    <w:p>
      <w:r>
        <w:rPr>
          <w:rFonts w:ascii="宋体" w:hAnsi="宋体" w:eastAsia="宋体"/>
          <w:sz w:val="24"/>
        </w:rPr>
        <w:t>J.利文斯顿著  何光沪译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现代基督教思想从启蒙运动到第二届梵蒂冈公会议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J.利文斯顿著  何光沪译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本书出售、求购地址：https://www.jiaokey.com/book/detail/10381711.html</w:t>
      </w:r>
    </w:p>
    <w:p>
      <w:r>
        <w:t>更多相关图书推荐：https://www.jiaokey.com</w:t>
      </w:r>
    </w:p>
    <w:p>
      <w:r>
        <w:t>J.利文斯顿著  何光沪译 其他作品：https://www.jiaokey.com/tag/J.利文斯顿著  何光沪译.html</w:t>
      </w:r>
    </w:p>
    <w:p>
      <w:r>
        <w:t>四川人民出版社 出版图书：https://www.jiaokey.com/tag/四川人民出版社.html</w:t>
      </w:r>
    </w:p>
    <w:p>
      <w:r>
        <w:t>关键词搜索：https://www.jiaokey.com/tag/现代基督教思想从启蒙运动到第二届梵蒂冈公会议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