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外伤性截瘫防治手册</w:t>
      </w:r>
    </w:p>
    <w:p>
      <w:r>
        <w:rPr>
          <w:rFonts w:ascii="宋体" w:hAnsi="宋体" w:eastAsia="宋体"/>
          <w:sz w:val="24"/>
        </w:rPr>
        <w:t>全国（南方12省市）治疗外伤性截瘫经验交流学习班编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外伤性截瘫防治手册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全国（南方12省市）治疗外伤性截瘫经验交流学习班编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本书出售、求购地址：https://www.jiaokey.com/book/detail/10353573.html</w:t>
      </w:r>
    </w:p>
    <w:p>
      <w:r>
        <w:t>更多相关图书推荐：https://www.jiaokey.com</w:t>
      </w:r>
    </w:p>
    <w:p>
      <w:r>
        <w:t>全国（南方12省市）治疗外伤性截瘫经验交流学习班编 其他作品：https://www.jiaokey.com/tag/全国（南方12省市）治疗外伤性截瘫经验交流学习班编.html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关键词搜索：https://www.jiaokey.com/tag/外伤性截瘫防治手册.html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