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什特凡大公</w:t>
      </w:r>
    </w:p>
    <w:p>
      <w:r>
        <w:rPr>
          <w:rFonts w:ascii="宋体" w:hAnsi="宋体" w:eastAsia="宋体"/>
          <w:sz w:val="24"/>
        </w:rPr>
        <w:t>（罗）萨多维亚努（A.Sadoveanu）著；陆象淦译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什特凡大公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（罗）萨多维亚努（A.Sadoveanu）著；陆象淦译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本书出售、求购地址：https://www.jiaokey.com/book/detail/10351343.html</w:t>
      </w:r>
    </w:p>
    <w:p>
      <w:r>
        <w:t>更多相关图书推荐：https://www.jiaokey.com</w:t>
      </w:r>
    </w:p>
    <w:p>
      <w:r>
        <w:t>（罗）萨多维亚努（A.Sadoveanu）著；陆象淦译 其他作品：https://www.jiaokey.com/tag/（罗）萨多维亚努（A.Sadoveanu）著；陆象淦译.html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关键词搜索：https://www.jiaokey.com/tag/什特凡大公.html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