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商业中劳动报酬的效果</w:t>
      </w:r>
    </w:p>
    <w:p>
      <w:r>
        <w:rPr>
          <w:rFonts w:ascii="宋体" w:hAnsi="宋体" w:eastAsia="宋体"/>
          <w:sz w:val="24"/>
        </w:rPr>
        <w:t>（苏）В.К.扎道洛日内，Н.А.巴夫洛夫斯卡娅著；李文榜译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商业中劳动报酬的效果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（苏）В.К.扎道洛日内，Н.А.巴夫洛夫斯卡娅著；李文榜译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本书出售、求购地址：https://www.jiaokey.com/book/detail/10349713.html</w:t>
      </w:r>
    </w:p>
    <w:p>
      <w:r>
        <w:t>更多相关图书推荐：https://www.jiaokey.com</w:t>
      </w:r>
    </w:p>
    <w:p>
      <w:r>
        <w:t>（苏）В.К.扎道洛日内，Н.А.巴夫洛夫斯卡娅著；李文榜译 其他作品：https://www.jiaokey.com/tag/（苏）В.К.扎道洛日内，Н.А.巴夫洛夫斯卡娅著；李文榜译.html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关键词搜索：https://www.jiaokey.com/tag/商业中劳动报酬的效果.html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