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苏联对外贸易垄断制法律形式的历史发展</w:t>
      </w:r>
    </w:p>
    <w:p>
      <w:r>
        <w:rPr>
          <w:rFonts w:ascii="宋体" w:hAnsi="宋体" w:eastAsia="宋体"/>
          <w:sz w:val="24"/>
        </w:rPr>
        <w:t>（苏）卡留日娜娅（Г.П.Калюжная）著；俞大鑫，任继圣译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苏联对外贸易垄断制法律形式的历史发展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（苏）卡留日娜娅（Г.П.Калюжная）著；俞大鑫，任继圣译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本书出售、求购地址：https://www.jiaokey.com/book/detail/10348761.html</w:t>
      </w:r>
    </w:p>
    <w:p>
      <w:r>
        <w:t>更多相关图书推荐：https://www.jiaokey.com</w:t>
      </w:r>
    </w:p>
    <w:p>
      <w:r>
        <w:t>（苏）卡留日娜娅（Г.П.Калюжная）著；俞大鑫，任继圣译 其他作品：https://www.jiaokey.com/tag/（苏）卡留日娜娅（Г.П.Калюжная）著；俞大鑫，任继圣译.html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关键词搜索：https://www.jiaokey.com/tag/苏联对外贸易垄断制法律形式的历史发展.html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