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实用农业气象学</w:t>
      </w:r>
    </w:p>
    <w:p>
      <w:r>
        <w:rPr>
          <w:rFonts w:ascii="宋体" w:hAnsi="宋体" w:eastAsia="宋体"/>
          <w:sz w:val="24"/>
        </w:rPr>
        <w:t>（苏）高里佐夫（М.М.Гольцов）等著；顾全甫等译；中国科学院地球物理研究所农业气象组，华北农业科学研究所农业气象组编辑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实用农业气象学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（苏）高里佐夫（М.М.Гольцов）等著；顾全甫等译；中国科学院地球物理研究所农业气象组，华北农业科学研究所农业气象组编辑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本书出售、求购地址：https://www.jiaokey.com/book/detail/10347289.html</w:t>
      </w:r>
    </w:p>
    <w:p>
      <w:r>
        <w:t>更多相关图书推荐：https://www.jiaokey.com</w:t>
      </w:r>
    </w:p>
    <w:p>
      <w:r>
        <w:t>（苏）高里佐夫（М.М.Гольцов）等著；顾全甫等译；中国科学院地球物理研究所农业气象组，华北农业科学研究所农业气象组编辑 其他作品：https://www.jiaokey.com/tag/（苏）高里佐夫（М.М.Гольцов）等著；顾全甫等译；中国科学院地球物理研究所农业气象组，华北农业科学研究所农业气象组编辑.html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关键词搜索：https://www.jiaokey.com/tag/实用农业气象学.html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