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发展中国家的税制改革</w:t>
      </w:r>
    </w:p>
    <w:p>
      <w:r>
        <w:rPr>
          <w:rFonts w:ascii="宋体" w:hAnsi="宋体" w:eastAsia="宋体"/>
          <w:sz w:val="24"/>
        </w:rPr>
        <w:t>（乌克兰）瑟斯克编 张文春 匡小平译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（乌克兰）瑟斯克编 张文春 匡小平译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本书出售、求购地址：https://www.jiaokey.com/book/detail/10345712.html</w:t>
      </w:r>
    </w:p>
    <w:p>
      <w:r>
        <w:t>更多相关图书推荐：https://www.jiaokey.com</w:t>
      </w:r>
    </w:p>
    <w:p>
      <w:r>
        <w:t>（乌克兰）瑟斯克编 张文春 匡小平译 其他作品：https://www.jiaokey.com/tag/（乌克兰）瑟斯克编 张文春 匡小平译.html</w:t>
      </w:r>
    </w:p>
    <w:p>
      <w:r>
        <w:t>关键词搜索：https://www.jiaokey.com/tag/发展中国家的税制改革.html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