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新活性污泥法</w:t>
      </w:r>
    </w:p>
    <w:p>
      <w:r>
        <w:rPr>
          <w:rFonts w:ascii="宋体" w:hAnsi="宋体" w:eastAsia="宋体"/>
          <w:sz w:val="24"/>
        </w:rPr>
        <w:t>（日）桥本奖，须藤隆一编著；李至时等译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新活性污泥法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（日）桥本奖，须藤隆一编著；李至时等译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本书出售、求购地址：https://www.jiaokey.com/book/detail/10344905.html</w:t>
      </w:r>
    </w:p>
    <w:p>
      <w:r>
        <w:t>更多相关图书推荐：https://www.jiaokey.com</w:t>
      </w:r>
    </w:p>
    <w:p>
      <w:r>
        <w:t>（日）桥本奖，须藤隆一编著；李至时等译 其他作品：https://www.jiaokey.com/tag/（日）桥本奖，须藤隆一编著；李至时等译.html</w:t>
      </w:r>
    </w:p>
    <w:p>
      <w:r>
        <w:t>学术书刊出版社 出版图书：https://www.jiaokey.com/tag/学术书刊出版社.html</w:t>
      </w:r>
    </w:p>
    <w:p>
      <w:r>
        <w:t>关键词搜索：https://www.jiaokey.com/tag/新活性污泥法.html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