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经济刑法清廉剑</w:t>
      </w:r>
    </w:p>
    <w:p>
      <w:r>
        <w:rPr>
          <w:rFonts w:ascii="宋体" w:hAnsi="宋体" w:eastAsia="宋体"/>
          <w:sz w:val="24"/>
        </w:rPr>
        <w:t>李佩佑，夏吉先主编；江苏省高级人民法院，华东政法学院编写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经济刑法清廉剑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李佩佑，夏吉先主编；江苏省高级人民法院，华东政法学院编写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本书出售、求购地址：https://www.jiaokey.com/book/detail/10344445.html</w:t>
      </w:r>
    </w:p>
    <w:p>
      <w:r>
        <w:t>更多相关图书推荐：https://www.jiaokey.com</w:t>
      </w:r>
    </w:p>
    <w:p>
      <w:r>
        <w:t>李佩佑，夏吉先主编；江苏省高级人民法院，华东政法学院编写 其他作品：https://www.jiaokey.com/tag/李佩佑，夏吉先主编；江苏省高级人民法院，华东政法学院编写.html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关键词搜索：https://www.jiaokey.com/tag/经济刑法清廉剑.html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